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bookmarkStart w:colFirst="0" w:colLast="0" w:name="_x9lqqax7uv5t" w:id="0"/>
      <w:bookmarkEnd w:id="0"/>
      <w:r w:rsidDel="00000000" w:rsidR="00000000" w:rsidRPr="00000000">
        <w:rPr>
          <w:rtl w:val="0"/>
        </w:rPr>
      </w:r>
    </w:p>
    <w:p w:rsidR="00000000" w:rsidDel="00000000" w:rsidP="00000000" w:rsidRDefault="00000000" w:rsidRPr="00000000" w14:paraId="00000002">
      <w:pPr>
        <w:pageBreakBefore w:val="0"/>
        <w:jc w:val="both"/>
        <w:rPr>
          <w:rFonts w:ascii="Arial" w:cs="Arial" w:eastAsia="Arial" w:hAnsi="Arial"/>
          <w:b w:val="1"/>
          <w:sz w:val="26"/>
          <w:szCs w:val="26"/>
        </w:rPr>
      </w:pPr>
      <w:bookmarkStart w:colFirst="0" w:colLast="0" w:name="_1st0mipu7bs7" w:id="1"/>
      <w:bookmarkEnd w:id="1"/>
      <w:r w:rsidDel="00000000" w:rsidR="00000000" w:rsidRPr="00000000">
        <w:rPr>
          <w:rFonts w:ascii="Arial" w:cs="Arial" w:eastAsia="Arial" w:hAnsi="Arial"/>
          <w:b w:val="1"/>
          <w:sz w:val="26"/>
          <w:szCs w:val="26"/>
          <w:rtl w:val="0"/>
        </w:rPr>
        <w:t xml:space="preserve">EXPO RIVA SCHUH E GARDABAGS. EVOLUZIONE IN UN MONDO CHE CAMBIA</w:t>
      </w:r>
    </w:p>
    <w:p w:rsidR="00000000" w:rsidDel="00000000" w:rsidP="00000000" w:rsidRDefault="00000000" w:rsidRPr="00000000" w14:paraId="00000003">
      <w:pPr>
        <w:spacing w:after="240" w:before="240" w:line="301.09090909090907"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 8000 presenze da più di 100 Paesi si chiude l’edizione 103 di Expo Riva Schuh e Gardabags. In crescita le presenze da Polonia, UK, Africa e USA, stabile la Germania. L’evento che ha aperto la stagione primavera estate 2026, ha visto il debutto del rinnovato format di Gardabags, che ha riscosso un ottimo successo. Annunciata nel prossimo triennio la conclusione dei lavori di ampliamento del Quartiere Fieristico. </w:t>
      </w:r>
      <w:r w:rsidDel="00000000" w:rsidR="00000000" w:rsidRPr="00000000">
        <w:rPr>
          <w:rtl w:val="0"/>
        </w:rPr>
      </w:r>
    </w:p>
    <w:p w:rsidR="00000000" w:rsidDel="00000000" w:rsidP="00000000" w:rsidRDefault="00000000" w:rsidRPr="00000000" w14:paraId="00000004">
      <w:pPr>
        <w:pageBreakBefore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L’edizione 103 di Expo Riva Schuh e Gardabags, che si è chiusa oggi al Quartiere Fieristico di Riva del Garda, conferma le aspettative degli organizzatori e risulta in linea con l’andamento dei mercati. </w:t>
      </w:r>
      <w:r w:rsidDel="00000000" w:rsidR="00000000" w:rsidRPr="00000000">
        <w:rPr>
          <w:rFonts w:ascii="Arial" w:cs="Arial" w:eastAsia="Arial" w:hAnsi="Arial"/>
          <w:b w:val="1"/>
          <w:sz w:val="24"/>
          <w:szCs w:val="24"/>
          <w:rtl w:val="0"/>
        </w:rPr>
        <w:t xml:space="preserve">8000 le presenze</w:t>
      </w:r>
      <w:r w:rsidDel="00000000" w:rsidR="00000000" w:rsidRPr="00000000">
        <w:rPr>
          <w:rFonts w:ascii="Arial" w:cs="Arial" w:eastAsia="Arial" w:hAnsi="Arial"/>
          <w:sz w:val="24"/>
          <w:szCs w:val="24"/>
          <w:rtl w:val="0"/>
        </w:rPr>
        <w:t xml:space="preserve">, da </w:t>
      </w:r>
      <w:r w:rsidDel="00000000" w:rsidR="00000000" w:rsidRPr="00000000">
        <w:rPr>
          <w:rFonts w:ascii="Arial" w:cs="Arial" w:eastAsia="Arial" w:hAnsi="Arial"/>
          <w:b w:val="1"/>
          <w:sz w:val="24"/>
          <w:szCs w:val="24"/>
          <w:rtl w:val="0"/>
        </w:rPr>
        <w:t xml:space="preserve">più di 100 Paesi</w:t>
      </w:r>
      <w:r w:rsidDel="00000000" w:rsidR="00000000" w:rsidRPr="00000000">
        <w:rPr>
          <w:rFonts w:ascii="Arial" w:cs="Arial" w:eastAsia="Arial" w:hAnsi="Arial"/>
          <w:sz w:val="24"/>
          <w:szCs w:val="24"/>
          <w:rtl w:val="0"/>
        </w:rPr>
        <w:t xml:space="preserve">. “L’edizione estiva si è rivelata, ancora una volta, più forte di quella invernale. In sostanziale tenuta il numero dei visitatori - ha dichiarato </w:t>
      </w:r>
      <w:r w:rsidDel="00000000" w:rsidR="00000000" w:rsidRPr="00000000">
        <w:rPr>
          <w:rFonts w:ascii="Arial" w:cs="Arial" w:eastAsia="Arial" w:hAnsi="Arial"/>
          <w:b w:val="1"/>
          <w:sz w:val="24"/>
          <w:szCs w:val="24"/>
          <w:rtl w:val="0"/>
        </w:rPr>
        <w:t xml:space="preserve">Roberto Pellegrini</w:t>
      </w:r>
      <w:r w:rsidDel="00000000" w:rsidR="00000000" w:rsidRPr="00000000">
        <w:rPr>
          <w:rFonts w:ascii="Arial" w:cs="Arial" w:eastAsia="Arial" w:hAnsi="Arial"/>
          <w:sz w:val="24"/>
          <w:szCs w:val="24"/>
          <w:rtl w:val="0"/>
        </w:rPr>
        <w:t xml:space="preserve">, Presidente di Riva del Garda Fierecongressi. - Un buon risultato se si considerano le tante complicazioni che irretiscono i mercati e</w:t>
      </w:r>
      <w:r w:rsidDel="00000000" w:rsidR="00000000" w:rsidRPr="00000000">
        <w:rPr>
          <w:rFonts w:ascii="Arial" w:cs="Arial" w:eastAsia="Arial" w:hAnsi="Arial"/>
          <w:sz w:val="24"/>
          <w:szCs w:val="24"/>
          <w:rtl w:val="0"/>
        </w:rPr>
        <w:t xml:space="preserve"> il contesto bellico che, proprio nei giorni di fiera, ha aperto nuovi fronti impedendo ad alcuni Paesi di partecipare”.</w:t>
      </w:r>
    </w:p>
    <w:p w:rsidR="00000000" w:rsidDel="00000000" w:rsidP="00000000" w:rsidRDefault="00000000" w:rsidRPr="00000000" w14:paraId="0000000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crescita le presenze dei compratori provenienti da </w:t>
      </w:r>
      <w:r w:rsidDel="00000000" w:rsidR="00000000" w:rsidRPr="00000000">
        <w:rPr>
          <w:rFonts w:ascii="Arial" w:cs="Arial" w:eastAsia="Arial" w:hAnsi="Arial"/>
          <w:b w:val="1"/>
          <w:sz w:val="24"/>
          <w:szCs w:val="24"/>
          <w:rtl w:val="0"/>
        </w:rPr>
        <w:t xml:space="preserve">Inghilterra (+5%)</w:t>
      </w:r>
      <w:r w:rsidDel="00000000" w:rsidR="00000000" w:rsidRPr="00000000">
        <w:rPr>
          <w:rFonts w:ascii="Arial" w:cs="Arial" w:eastAsia="Arial" w:hAnsi="Arial"/>
          <w:sz w:val="24"/>
          <w:szCs w:val="24"/>
          <w:rtl w:val="0"/>
        </w:rPr>
        <w:t xml:space="preserve"> e </w:t>
      </w:r>
      <w:r w:rsidDel="00000000" w:rsidR="00000000" w:rsidRPr="00000000">
        <w:rPr>
          <w:rFonts w:ascii="Arial" w:cs="Arial" w:eastAsia="Arial" w:hAnsi="Arial"/>
          <w:b w:val="1"/>
          <w:sz w:val="24"/>
          <w:szCs w:val="24"/>
          <w:rtl w:val="0"/>
        </w:rPr>
        <w:t xml:space="preserve">Polonia (+15%)</w:t>
      </w:r>
      <w:r w:rsidDel="00000000" w:rsidR="00000000" w:rsidRPr="00000000">
        <w:rPr>
          <w:rFonts w:ascii="Arial" w:cs="Arial" w:eastAsia="Arial" w:hAnsi="Arial"/>
          <w:sz w:val="24"/>
          <w:szCs w:val="24"/>
          <w:rtl w:val="0"/>
        </w:rPr>
        <w:t xml:space="preserve">, stabile la Germania, in leggero calo l’Italia. L’incoming extra-EU è positivo per l’</w:t>
      </w:r>
      <w:r w:rsidDel="00000000" w:rsidR="00000000" w:rsidRPr="00000000">
        <w:rPr>
          <w:rFonts w:ascii="Arial" w:cs="Arial" w:eastAsia="Arial" w:hAnsi="Arial"/>
          <w:b w:val="1"/>
          <w:sz w:val="24"/>
          <w:szCs w:val="24"/>
          <w:rtl w:val="0"/>
        </w:rPr>
        <w:t xml:space="preserve">India (+13,6%)</w:t>
      </w:r>
      <w:r w:rsidDel="00000000" w:rsidR="00000000" w:rsidRPr="00000000">
        <w:rPr>
          <w:rFonts w:ascii="Arial" w:cs="Arial" w:eastAsia="Arial" w:hAnsi="Arial"/>
          <w:sz w:val="24"/>
          <w:szCs w:val="24"/>
          <w:rtl w:val="0"/>
        </w:rPr>
        <w:t xml:space="preserve">, per il </w:t>
      </w:r>
      <w:r w:rsidDel="00000000" w:rsidR="00000000" w:rsidRPr="00000000">
        <w:rPr>
          <w:rFonts w:ascii="Arial" w:cs="Arial" w:eastAsia="Arial" w:hAnsi="Arial"/>
          <w:b w:val="1"/>
          <w:sz w:val="24"/>
          <w:szCs w:val="24"/>
          <w:rtl w:val="0"/>
        </w:rPr>
        <w:t xml:space="preserve">continente africano</w:t>
      </w:r>
      <w:r w:rsidDel="00000000" w:rsidR="00000000" w:rsidRPr="00000000">
        <w:rPr>
          <w:rFonts w:ascii="Arial" w:cs="Arial" w:eastAsia="Arial" w:hAnsi="Arial"/>
          <w:sz w:val="24"/>
          <w:szCs w:val="24"/>
          <w:rtl w:val="0"/>
        </w:rPr>
        <w:t xml:space="preserve"> e gli </w:t>
      </w:r>
      <w:r w:rsidDel="00000000" w:rsidR="00000000" w:rsidRPr="00000000">
        <w:rPr>
          <w:rFonts w:ascii="Arial" w:cs="Arial" w:eastAsia="Arial" w:hAnsi="Arial"/>
          <w:b w:val="1"/>
          <w:sz w:val="24"/>
          <w:szCs w:val="24"/>
          <w:rtl w:val="0"/>
        </w:rPr>
        <w:t xml:space="preserve">Stati Uniti</w:t>
      </w:r>
      <w:r w:rsidDel="00000000" w:rsidR="00000000" w:rsidRPr="00000000">
        <w:rPr>
          <w:rFonts w:ascii="Arial" w:cs="Arial" w:eastAsia="Arial" w:hAnsi="Arial"/>
          <w:sz w:val="24"/>
          <w:szCs w:val="24"/>
          <w:rtl w:val="0"/>
        </w:rPr>
        <w:t xml:space="preserve"> (entrambi hanno registrato un </w:t>
      </w:r>
      <w:r w:rsidDel="00000000" w:rsidR="00000000" w:rsidRPr="00000000">
        <w:rPr>
          <w:rFonts w:ascii="Arial" w:cs="Arial" w:eastAsia="Arial" w:hAnsi="Arial"/>
          <w:b w:val="1"/>
          <w:sz w:val="24"/>
          <w:szCs w:val="24"/>
          <w:rtl w:val="0"/>
        </w:rPr>
        <w:t xml:space="preserve">+10%</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7">
      <w:pPr>
        <w:spacing w:after="0" w:line="276" w:lineRule="auto"/>
        <w:jc w:val="both"/>
        <w:rPr>
          <w:rFonts w:ascii="Montserrat" w:cs="Montserrat" w:eastAsia="Montserrat" w:hAnsi="Montserrat"/>
          <w:sz w:val="24"/>
          <w:szCs w:val="24"/>
        </w:rPr>
      </w:pPr>
      <w:r w:rsidDel="00000000" w:rsidR="00000000" w:rsidRPr="00000000">
        <w:rPr>
          <w:rFonts w:ascii="Arial" w:cs="Arial" w:eastAsia="Arial" w:hAnsi="Arial"/>
          <w:sz w:val="24"/>
          <w:szCs w:val="24"/>
          <w:rtl w:val="0"/>
        </w:rPr>
        <w:t xml:space="preserve">Che la qualità dei buyer, spesso più importante del loro numero, sia sempre valida per chiudere ordini, lo confermano le continue richieste di ampliamento dello spazio espositivo per accogliere nuove aziende e ampliare gli stand. “Nei prossimi tre anni si concluderanno i lavori per rendere la fiera ancora più accogliente - ha aggiunto il Presidente -  aggiungeremo infatti 20 mila metri quadrati sviluppando nuovi padiglioni per un investimento complessivo che toccherà i 50 milioni di euro”.</w:t>
      </w: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0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“Abbiamo reso la manifestazione un’imperdibile occasione di ritrovarsi per tutta la community delle calzature e degli accessori. Di operare i propri scambi, ma anche di informarsi e fare networking in modo intelligente grazie ai tanti eventi, ai servizi di Business Scout e all’app che consente un contatto diretto fra espositori e compratori”, ha sottolineato </w:t>
      </w:r>
      <w:r w:rsidDel="00000000" w:rsidR="00000000" w:rsidRPr="00000000">
        <w:rPr>
          <w:rFonts w:ascii="Arial" w:cs="Arial" w:eastAsia="Arial" w:hAnsi="Arial"/>
          <w:b w:val="1"/>
          <w:sz w:val="24"/>
          <w:szCs w:val="24"/>
          <w:rtl w:val="0"/>
        </w:rPr>
        <w:t xml:space="preserve">Alessandra Albarelli</w:t>
      </w:r>
      <w:r w:rsidDel="00000000" w:rsidR="00000000" w:rsidRPr="00000000">
        <w:rPr>
          <w:rFonts w:ascii="Arial" w:cs="Arial" w:eastAsia="Arial" w:hAnsi="Arial"/>
          <w:sz w:val="24"/>
          <w:szCs w:val="24"/>
          <w:rtl w:val="0"/>
        </w:rPr>
        <w:t xml:space="preserve">, Direttrice Generale di Riva del Garda Fierecongressi.</w:t>
      </w:r>
    </w:p>
    <w:p w:rsidR="00000000" w:rsidDel="00000000" w:rsidP="00000000" w:rsidRDefault="00000000" w:rsidRPr="00000000" w14:paraId="0000000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L’evoluzione che, più di tutte, ha  fatto parlare di sé in questa edizione è stata quella che ha coinvolto la rinnovata </w:t>
      </w:r>
      <w:r w:rsidDel="00000000" w:rsidR="00000000" w:rsidRPr="00000000">
        <w:rPr>
          <w:rFonts w:ascii="Arial" w:cs="Arial" w:eastAsia="Arial" w:hAnsi="Arial"/>
          <w:sz w:val="24"/>
          <w:szCs w:val="24"/>
          <w:rtl w:val="0"/>
        </w:rPr>
        <w:t xml:space="preserve">Gardabags</w:t>
      </w:r>
      <w:r w:rsidDel="00000000" w:rsidR="00000000" w:rsidRPr="00000000">
        <w:rPr>
          <w:rFonts w:ascii="Arial" w:cs="Arial" w:eastAsia="Arial" w:hAnsi="Arial"/>
          <w:sz w:val="24"/>
          <w:szCs w:val="24"/>
          <w:rtl w:val="0"/>
        </w:rPr>
        <w:t xml:space="preserve">, raddoppiata per spazio espositivo e offerta di collezioni. Un’atmosfera cool e modaiola ha contraddistinto le tre nuove aree di interazione fra espositori e buyer che rappresentano il nuovo format di Gardabags: Sourcing, Sourcing4Bridge, Brands. Senza dimenticare la presenza di espositori specializzati negli articoli da viaggio.</w:t>
      </w:r>
    </w:p>
    <w:p w:rsidR="00000000" w:rsidDel="00000000" w:rsidP="00000000" w:rsidRDefault="00000000" w:rsidRPr="00000000" w14:paraId="0000000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Molto partecipati gli eventi organizzati durante i quattro giorni di manifestazione: l’Area Highlights dove scoprire i trend di consumo e da cui trarre indicazioni affidabili per i propri acquisti; i Market Focus, occasione perfetta per i compratori di parlare dei propri mercati e incontrare i fornitori più adatti alle proprie esigenze; l’Expo Riva Nights, dove tessere relazioni che vanno oltre il business in un contesto di festa.</w:t>
      </w:r>
    </w:p>
    <w:p w:rsidR="00000000" w:rsidDel="00000000" w:rsidP="00000000" w:rsidRDefault="00000000" w:rsidRPr="00000000" w14:paraId="0000000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Vinta la scommessa di rendere la manifestazione rivana non solo l’hub di riferimento per gli scambi commerciali della calzatura, ma anche di borse, zaini e valigeria, Riva del Garda Fierecongressi guarda già oltre e dà il via alla progressiva evoluzione di Expo Riva Schuh, presentando una nuova identità visiva che ne riflette le caratteristiche di innovazione, flessibilità, legame con il territorio e networking. Il nuovo logo, semplice e immediato, capace di dialogare anche con la rinnovata identità di Gardabags, trasmette con chiarezza il messaggio di una fiera moderna, funzionale e service-oriented. Ogni dettaglio del nuovo design è stato studiato per comunicare la volontà di Expo Riva Schuh di restare al passo con i tempi, mantenendo una riconoscibilità forte e coerente.</w:t>
      </w:r>
    </w:p>
    <w:p w:rsidR="00000000" w:rsidDel="00000000" w:rsidP="00000000" w:rsidRDefault="00000000" w:rsidRPr="00000000" w14:paraId="0000000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prossima edizione di Expo Riva Schuh e Gardabags è in programma dal 10 al 13 gennaio 2026. </w:t>
      </w:r>
    </w:p>
    <w:p w:rsidR="00000000" w:rsidDel="00000000" w:rsidP="00000000" w:rsidRDefault="00000000" w:rsidRPr="00000000" w14:paraId="0000000D">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Riva del Garda, 17 giugno 2025</w:t>
      </w:r>
    </w:p>
    <w:p w:rsidR="00000000" w:rsidDel="00000000" w:rsidP="00000000" w:rsidRDefault="00000000" w:rsidRPr="00000000" w14:paraId="00000010">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pageBreakBefore w:val="0"/>
        <w:jc w:val="center"/>
        <w:rPr/>
      </w:pPr>
      <w:r w:rsidDel="00000000" w:rsidR="00000000" w:rsidRPr="00000000">
        <w:rPr>
          <w:rtl w:val="0"/>
        </w:rPr>
      </w:r>
    </w:p>
    <w:sectPr>
      <w:headerReference r:id="rId6" w:type="default"/>
      <w:footerReference r:id="rId7" w:type="default"/>
      <w:pgSz w:h="16838" w:w="11906" w:orient="portrait"/>
      <w:pgMar w:bottom="1134" w:top="1417" w:left="1134" w:right="1134" w:header="850.3937007874016"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41.73228346456688" w:right="0" w:hanging="850.3937007874015"/>
      <w:jc w:val="left"/>
      <w:rPr/>
    </w:pPr>
    <w:r w:rsidDel="00000000" w:rsidR="00000000" w:rsidRPr="00000000">
      <w:rPr/>
      <w:drawing>
        <wp:inline distB="114300" distT="114300" distL="114300" distR="114300">
          <wp:extent cx="7138035" cy="600075"/>
          <wp:effectExtent b="0" l="0" r="0" t="0"/>
          <wp:docPr id="3" name="image3.jpg"/>
          <a:graphic>
            <a:graphicData uri="http://schemas.openxmlformats.org/drawingml/2006/picture">
              <pic:pic>
                <pic:nvPicPr>
                  <pic:cNvPr id="0" name="image3.jpg"/>
                  <pic:cNvPicPr preferRelativeResize="0"/>
                </pic:nvPicPr>
                <pic:blipFill>
                  <a:blip r:embed="rId1"/>
                  <a:srcRect b="11739" l="0" r="0" t="11740"/>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21922" cy="740658"/>
          <wp:effectExtent b="0" l="0" r="0" t="0"/>
          <wp:docPr id="2" name="image2.png"/>
          <a:graphic>
            <a:graphicData uri="http://schemas.openxmlformats.org/drawingml/2006/picture">
              <pic:pic>
                <pic:nvPicPr>
                  <pic:cNvPr id="0" name="image2.png"/>
                  <pic:cNvPicPr preferRelativeResize="0"/>
                </pic:nvPicPr>
                <pic:blipFill>
                  <a:blip r:embed="rId1"/>
                  <a:srcRect b="8389" l="0" r="0" t="8390"/>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566660" cy="2819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